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360" w:after="0" w:lineRule="auto"/>
      </w:pPr>
      <w:r>
        <w:rPr>
          <w:rFonts w:eastAsia="inter" w:cs="inter" w:ascii="inter" w:hAnsi="inter"/>
          <w:color w:val="000000"/>
        </w:rPr>
        <w:drawing>
          <wp:inline distB="0" distL="0" distR="0" distT="0">
            <wp:extent cx="2420112" cy="609600"/>
            <wp:effectExtent b="0" l="0" r="0" t="0"/>
            <wp:docPr id="1" name="image-debd50a38bc50b34cb1263248d1c2f5ff2d0b495.png"/>
            <a:graphic>
              <a:graphicData uri="http://schemas.openxmlformats.org/drawingml/2006/picture">
                <pic:pic>
                  <pic:nvPicPr>
                    <pic:cNvPr id="1" name="image-debd50a38bc50b34cb1263248d1c2f5ff2d0b495.png" descr=""/>
                    <pic:cNvPicPr/>
                  </pic:nvPicPr>
                  <pic:blipFill>
                    <a:blip r:embed="rId5" cstate="print"/>
                    <a:srcRect b="0" l="0" r="0" t="0"/>
                    <a:stretch>
                      <a:fillRect/>
                    </a:stretch>
                  </pic:blipFill>
                  <pic:spPr>
                    <a:xfrm>
                      <a:off x="0" y="0"/>
                      <a:ext cx="2420112" cy="609600"/>
                    </a:xfrm>
                    <a:prstGeom prst="rect"/>
                  </pic:spPr>
                </pic:pic>
              </a:graphicData>
            </a:graphic>
          </wp:inline>
        </w:drawing>
      </w:r>
    </w:p>
    <w:p>
      <w:pPr>
        <w:spacing w:line="270" w:before="157.5" w:after="157.5" w:lineRule="auto"/>
        <w:jc w:val="left"/>
      </w:pPr>
      <w:r>
        <w:rPr>
          <w:rFonts w:eastAsia="inter" w:cs="inter" w:ascii="inter" w:hAnsi="inter"/>
          <w:b/>
          <w:color w:val="000000"/>
          <w:sz w:val="39"/>
        </w:rPr>
        <w:t xml:space="preserve">fais moi un cv en anaglais de Thierry Rouiller FKG</w:t>
      </w:r>
    </w:p>
    <w:p>
      <w:pPr>
        <w:spacing w:line="360" w:after="210" w:lineRule="auto"/>
      </w:pPr>
      <w:r>
        <w:rPr>
          <w:rFonts w:eastAsia="inter" w:cs="inter" w:ascii="inter" w:hAnsi="inter"/>
          <w:color w:val="000000"/>
        </w:rPr>
        <w:t xml:space="preserve">Voici un CV résumé en anglais de Thierry Rouiller (FKG Dentaire), prêt à l’usage.</w:t>
      </w:r>
    </w:p>
    <w:p>
      <w:pPr>
        <w:spacing w:line="360" w:after="210" w:lineRule="auto"/>
      </w:pPr>
      <w:r>
        <w:rPr>
          <w:rFonts w:eastAsia="inter" w:cs="inter" w:ascii="inter" w:hAnsi="inter"/>
          <w:color w:val="000000"/>
        </w:rPr>
        <w:t xml:space="preserve">Thierry Rouiller</w:t>
      </w:r>
      <w:r>
        <w:rPr>
          <w:rFonts w:eastAsia="inter" w:cs="inter" w:ascii="inter" w:hAnsi="inter"/>
          <w:color w:val="000000"/>
        </w:rPr>
        <w:br w:type="textWrapping"/>
      </w:r>
      <w:r>
        <w:rPr>
          <w:rFonts w:eastAsia="inter" w:cs="inter" w:ascii="inter" w:hAnsi="inter"/>
          <w:color w:val="000000"/>
        </w:rPr>
        <w:t xml:space="preserve">Chief Executive Officer (since 2011) — FKG Dentaire SA | La Chaux‑de‑Fonds, Switzerland</w:t>
      </w:r>
    </w:p>
    <w:p>
      <w:pPr>
        <w:spacing w:line="360" w:after="210" w:lineRule="auto"/>
      </w:pPr>
      <w:r>
        <w:rPr>
          <w:rFonts w:eastAsia="inter" w:cs="inter" w:ascii="inter" w:hAnsi="inter"/>
          <w:color w:val="000000"/>
        </w:rPr>
        <w:t xml:space="preserve">Profile</w:t>
      </w:r>
      <w:r>
        <w:rPr>
          <w:rFonts w:eastAsia="inter" w:cs="inter" w:ascii="inter" w:hAnsi="inter"/>
          <w:color w:val="000000"/>
        </w:rPr>
        <w:br w:type="textWrapping"/>
      </w:r>
      <w:r>
        <w:rPr>
          <w:rFonts w:eastAsia="inter" w:cs="inter" w:ascii="inter" w:hAnsi="inter"/>
          <w:color w:val="000000"/>
        </w:rPr>
        <w:t xml:space="preserve">Medtech executive leading a Swiss endodontics innovator across global markets. Succeeded the founder‑CEO Jean‑Claude Rouiller in 2011, scaling international distribution, advancing product innovation (file systems, endo motors, bioceramics), and strengthening quality, regulatory readiness, and clinician education.</w:t>
      </w:r>
    </w:p>
    <w:p>
      <w:pPr>
        <w:spacing w:line="360" w:after="210" w:lineRule="auto"/>
      </w:pPr>
      <w:r>
        <w:rPr>
          <w:rFonts w:eastAsia="inter" w:cs="inter" w:ascii="inter" w:hAnsi="inter"/>
          <w:color w:val="000000"/>
        </w:rPr>
        <w:t xml:space="preserve">Core competencies</w:t>
      </w:r>
    </w:p>
    <w:p>
      <w:pPr>
        <w:numPr>
          <w:ilvl w:val="0"/>
          <w:numId w:val="1"/>
        </w:numPr>
        <w:spacing w:line="360" w:before="105" w:after="105" w:lineRule="auto"/>
      </w:pPr>
      <w:r>
        <w:rPr>
          <w:rFonts w:eastAsia="inter" w:cs="inter" w:ascii="inter" w:hAnsi="inter"/>
          <w:color w:val="000000"/>
          <w:sz w:val="21"/>
        </w:rPr>
        <w:t xml:space="preserve">Medtech strategy &amp; P&amp;L leadership</w:t>
      </w:r>
    </w:p>
    <w:p>
      <w:pPr>
        <w:numPr>
          <w:ilvl w:val="0"/>
          <w:numId w:val="1"/>
        </w:numPr>
        <w:spacing w:line="360" w:before="105" w:after="105" w:lineRule="auto"/>
      </w:pPr>
      <w:r>
        <w:rPr>
          <w:rFonts w:eastAsia="inter" w:cs="inter" w:ascii="inter" w:hAnsi="inter"/>
          <w:color w:val="000000"/>
          <w:sz w:val="21"/>
        </w:rPr>
        <w:t xml:space="preserve">Global distribution &amp; partnerships</w:t>
      </w:r>
    </w:p>
    <w:p>
      <w:pPr>
        <w:numPr>
          <w:ilvl w:val="0"/>
          <w:numId w:val="1"/>
        </w:numPr>
        <w:spacing w:line="360" w:before="105" w:after="105" w:lineRule="auto"/>
      </w:pPr>
      <w:r>
        <w:rPr>
          <w:rFonts w:eastAsia="inter" w:cs="inter" w:ascii="inter" w:hAnsi="inter"/>
          <w:color w:val="000000"/>
          <w:sz w:val="21"/>
        </w:rPr>
        <w:t xml:space="preserve">Product portfolio &amp; innovation (endodontics)</w:t>
      </w:r>
    </w:p>
    <w:p>
      <w:pPr>
        <w:numPr>
          <w:ilvl w:val="0"/>
          <w:numId w:val="1"/>
        </w:numPr>
        <w:spacing w:line="360" w:before="105" w:after="105" w:lineRule="auto"/>
      </w:pPr>
      <w:r>
        <w:rPr>
          <w:rFonts w:eastAsia="inter" w:cs="inter" w:ascii="inter" w:hAnsi="inter"/>
          <w:color w:val="000000"/>
          <w:sz w:val="21"/>
        </w:rPr>
        <w:t xml:space="preserve">Regulatory/quality systems (EU/US)</w:t>
      </w:r>
    </w:p>
    <w:p>
      <w:pPr>
        <w:numPr>
          <w:ilvl w:val="0"/>
          <w:numId w:val="1"/>
        </w:numPr>
        <w:spacing w:line="360" w:before="105" w:after="105" w:lineRule="auto"/>
      </w:pPr>
      <w:r>
        <w:rPr>
          <w:rFonts w:eastAsia="inter" w:cs="inter" w:ascii="inter" w:hAnsi="inter"/>
          <w:color w:val="000000"/>
          <w:sz w:val="21"/>
        </w:rPr>
        <w:t xml:space="preserve">Operations &amp; industrial scale‑up</w:t>
      </w:r>
    </w:p>
    <w:p>
      <w:pPr>
        <w:numPr>
          <w:ilvl w:val="0"/>
          <w:numId w:val="1"/>
        </w:numPr>
        <w:spacing w:line="360" w:before="105" w:after="105" w:lineRule="auto"/>
      </w:pPr>
      <w:r>
        <w:rPr>
          <w:rFonts w:eastAsia="inter" w:cs="inter" w:ascii="inter" w:hAnsi="inter"/>
          <w:color w:val="000000"/>
          <w:sz w:val="21"/>
        </w:rPr>
        <w:t xml:space="preserve">Clinical education &amp; training networks</w:t>
      </w:r>
    </w:p>
    <w:p>
      <w:pPr>
        <w:spacing w:line="360" w:after="210" w:lineRule="auto"/>
      </w:pPr>
      <w:r>
        <w:rPr>
          <w:rFonts w:eastAsia="inter" w:cs="inter" w:ascii="inter" w:hAnsi="inter"/>
          <w:color w:val="000000"/>
        </w:rPr>
        <w:t xml:space="preserve">Professional experience</w:t>
      </w:r>
      <w:r>
        <w:rPr>
          <w:rFonts w:eastAsia="inter" w:cs="inter" w:ascii="inter" w:hAnsi="inter"/>
          <w:color w:val="000000"/>
        </w:rPr>
        <w:br w:type="textWrapping"/>
      </w:r>
      <w:r>
        <w:rPr>
          <w:rFonts w:eastAsia="inter" w:cs="inter" w:ascii="inter" w:hAnsi="inter"/>
          <w:color w:val="000000"/>
        </w:rPr>
        <w:t xml:space="preserve">Chief Executive Officer — FKG Dentaire SA (2011–present)</w:t>
      </w:r>
    </w:p>
    <w:p>
      <w:pPr>
        <w:numPr>
          <w:ilvl w:val="0"/>
          <w:numId w:val="2"/>
        </w:numPr>
        <w:spacing w:line="360" w:before="105" w:after="105" w:lineRule="auto"/>
      </w:pPr>
      <w:r>
        <w:rPr>
          <w:rFonts w:eastAsia="inter" w:cs="inter" w:ascii="inter" w:hAnsi="inter"/>
          <w:color w:val="000000"/>
          <w:sz w:val="21"/>
        </w:rPr>
        <w:t xml:space="preserve">Leads strategy, portfolio focus (file systems, reciprocation, endo motors, bioceramics), and international go‑to‑market.</w:t>
      </w:r>
    </w:p>
    <w:p>
      <w:pPr>
        <w:numPr>
          <w:ilvl w:val="0"/>
          <w:numId w:val="2"/>
        </w:numPr>
        <w:spacing w:line="360" w:before="105" w:after="105" w:lineRule="auto"/>
      </w:pPr>
      <w:r>
        <w:rPr>
          <w:rFonts w:eastAsia="inter" w:cs="inter" w:ascii="inter" w:hAnsi="inter"/>
          <w:color w:val="000000"/>
          <w:sz w:val="21"/>
        </w:rPr>
        <w:t xml:space="preserve">Expanded distributor network and university partnerships; reinforced training centers (La Chaux‑de‑Fonds, Oslo, Dubai) to elevate clinical practice.</w:t>
      </w:r>
    </w:p>
    <w:p>
      <w:pPr>
        <w:numPr>
          <w:ilvl w:val="0"/>
          <w:numId w:val="2"/>
        </w:numPr>
        <w:spacing w:line="360" w:before="105" w:after="105" w:lineRule="auto"/>
      </w:pPr>
      <w:r>
        <w:rPr>
          <w:rFonts w:eastAsia="inter" w:cs="inter" w:ascii="inter" w:hAnsi="inter"/>
          <w:color w:val="000000"/>
          <w:sz w:val="21"/>
        </w:rPr>
        <w:t xml:space="preserve">Oversaw product generations including RaCe → RACE EVO, reciprocating systems (R‑Motion), Rooter motor platform evolution, and bioceramic ranges.</w:t>
      </w:r>
    </w:p>
    <w:p>
      <w:pPr>
        <w:numPr>
          <w:ilvl w:val="0"/>
          <w:numId w:val="2"/>
        </w:numPr>
        <w:spacing w:line="360" w:before="105" w:after="105" w:lineRule="auto"/>
      </w:pPr>
      <w:r>
        <w:rPr>
          <w:rFonts w:eastAsia="inter" w:cs="inter" w:ascii="inter" w:hAnsi="inter"/>
          <w:color w:val="000000"/>
          <w:sz w:val="21"/>
        </w:rPr>
        <w:t xml:space="preserve">Strengthened regulatory compliance, clean‑room capacity, and sterile product lines to meet international standards.</w:t>
      </w:r>
    </w:p>
    <w:p>
      <w:pPr>
        <w:spacing w:line="360" w:after="210" w:lineRule="auto"/>
      </w:pPr>
      <w:r>
        <w:rPr>
          <w:rFonts w:eastAsia="inter" w:cs="inter" w:ascii="inter" w:hAnsi="inter"/>
          <w:color w:val="000000"/>
        </w:rPr>
        <w:t xml:space="preserve">Earlier roles — FKG Dentaire SA</w:t>
      </w:r>
    </w:p>
    <w:p>
      <w:pPr>
        <w:numPr>
          <w:ilvl w:val="0"/>
          <w:numId w:val="3"/>
        </w:numPr>
        <w:spacing w:line="360" w:before="105" w:after="105" w:lineRule="auto"/>
      </w:pPr>
      <w:r>
        <w:rPr>
          <w:rFonts w:eastAsia="inter" w:cs="inter" w:ascii="inter" w:hAnsi="inter"/>
          <w:color w:val="000000"/>
          <w:sz w:val="21"/>
        </w:rPr>
        <w:t xml:space="preserve">Senior management roles supporting operations, commercial development, and innovation projects prior to CEO succession.</w:t>
      </w:r>
    </w:p>
    <w:p>
      <w:pPr>
        <w:spacing w:line="360" w:after="210" w:lineRule="auto"/>
      </w:pPr>
      <w:r>
        <w:rPr>
          <w:rFonts w:eastAsia="inter" w:cs="inter" w:ascii="inter" w:hAnsi="inter"/>
          <w:color w:val="000000"/>
        </w:rPr>
        <w:t xml:space="preserve">Selected achievements</w:t>
      </w:r>
    </w:p>
    <w:p>
      <w:pPr>
        <w:numPr>
          <w:ilvl w:val="0"/>
          <w:numId w:val="4"/>
        </w:numPr>
        <w:spacing w:line="360" w:before="105" w:after="105" w:lineRule="auto"/>
      </w:pPr>
      <w:r>
        <w:rPr>
          <w:rFonts w:eastAsia="inter" w:cs="inter" w:ascii="inter" w:hAnsi="inter"/>
          <w:color w:val="000000"/>
          <w:sz w:val="21"/>
        </w:rPr>
        <w:t xml:space="preserve">International Scale‑Up: Grew exports through a curated global distributor network aligned to brand and clinical strategy.</w:t>
      </w:r>
    </w:p>
    <w:p>
      <w:pPr>
        <w:numPr>
          <w:ilvl w:val="0"/>
          <w:numId w:val="4"/>
        </w:numPr>
        <w:spacing w:line="360" w:before="105" w:after="105" w:lineRule="auto"/>
      </w:pPr>
      <w:r>
        <w:rPr>
          <w:rFonts w:eastAsia="inter" w:cs="inter" w:ascii="inter" w:hAnsi="inter"/>
          <w:color w:val="000000"/>
          <w:sz w:val="21"/>
        </w:rPr>
        <w:t xml:space="preserve">Innovation Pipeline: Drove successive generations of shaping/cleaning systems and ergonomic motors to improve safety and efficiency.</w:t>
      </w:r>
    </w:p>
    <w:p>
      <w:pPr>
        <w:numPr>
          <w:ilvl w:val="0"/>
          <w:numId w:val="4"/>
        </w:numPr>
        <w:spacing w:line="360" w:before="105" w:after="105" w:lineRule="auto"/>
      </w:pPr>
      <w:r>
        <w:rPr>
          <w:rFonts w:eastAsia="inter" w:cs="inter" w:ascii="inter" w:hAnsi="inter"/>
          <w:color w:val="000000"/>
          <w:sz w:val="21"/>
        </w:rPr>
        <w:t xml:space="preserve">Education Ecosystem: Expanded hands‑on training footprint and academic collaborations to support evidence‑based adoption.</w:t>
      </w:r>
    </w:p>
    <w:p>
      <w:pPr>
        <w:numPr>
          <w:ilvl w:val="0"/>
          <w:numId w:val="4"/>
        </w:numPr>
        <w:spacing w:line="360" w:before="105" w:after="105" w:lineRule="auto"/>
      </w:pPr>
      <w:r>
        <w:rPr>
          <w:rFonts w:eastAsia="inter" w:cs="inter" w:ascii="inter" w:hAnsi="inter"/>
          <w:color w:val="000000"/>
          <w:sz w:val="21"/>
        </w:rPr>
        <w:t xml:space="preserve">Industrial Excellence: Enhanced manufacturing capabilities, quality systems, and sterile production lines.</w:t>
      </w:r>
    </w:p>
    <w:p>
      <w:pPr>
        <w:spacing w:line="360" w:after="210" w:lineRule="auto"/>
      </w:pPr>
      <w:r>
        <w:rPr>
          <w:rFonts w:eastAsia="inter" w:cs="inter" w:ascii="inter" w:hAnsi="inter"/>
          <w:color w:val="000000"/>
        </w:rPr>
        <w:t xml:space="preserve">Industry engagement</w:t>
      </w:r>
    </w:p>
    <w:p>
      <w:pPr>
        <w:numPr>
          <w:ilvl w:val="0"/>
          <w:numId w:val="5"/>
        </w:numPr>
        <w:spacing w:line="360" w:before="105" w:after="105" w:lineRule="auto"/>
      </w:pPr>
      <w:r>
        <w:rPr>
          <w:rFonts w:eastAsia="inter" w:cs="inter" w:ascii="inter" w:hAnsi="inter"/>
          <w:color w:val="000000"/>
          <w:sz w:val="21"/>
        </w:rPr>
        <w:t xml:space="preserve">Collaboration with leading universities and KOLs to validate minimally invasive endodontic philosophies (respect for canal anatomy, cleaning efficacy).</w:t>
      </w:r>
    </w:p>
    <w:p>
      <w:pPr>
        <w:spacing w:line="360" w:after="210" w:lineRule="auto"/>
      </w:pPr>
      <w:r>
        <w:rPr>
          <w:rFonts w:eastAsia="inter" w:cs="inter" w:ascii="inter" w:hAnsi="inter"/>
          <w:color w:val="000000"/>
        </w:rPr>
        <w:t xml:space="preserve">Education</w:t>
      </w:r>
    </w:p>
    <w:p>
      <w:pPr>
        <w:numPr>
          <w:ilvl w:val="0"/>
          <w:numId w:val="6"/>
        </w:numPr>
        <w:spacing w:line="360" w:before="105" w:after="105" w:lineRule="auto"/>
      </w:pPr>
      <w:r>
        <w:rPr>
          <w:rFonts w:eastAsia="inter" w:cs="inter" w:ascii="inter" w:hAnsi="inter"/>
          <w:color w:val="000000"/>
          <w:sz w:val="21"/>
        </w:rPr>
        <w:t xml:space="preserve">Business/engineering background (details upon request).</w:t>
      </w:r>
    </w:p>
    <w:p>
      <w:pPr>
        <w:spacing w:line="360" w:after="210" w:lineRule="auto"/>
      </w:pPr>
      <w:r>
        <w:rPr>
          <w:rFonts w:eastAsia="inter" w:cs="inter" w:ascii="inter" w:hAnsi="inter"/>
          <w:color w:val="000000"/>
        </w:rPr>
        <w:t xml:space="preserve">Languages</w:t>
      </w:r>
    </w:p>
    <w:p>
      <w:pPr>
        <w:numPr>
          <w:ilvl w:val="0"/>
          <w:numId w:val="7"/>
        </w:numPr>
        <w:spacing w:line="360" w:before="105" w:after="105" w:lineRule="auto"/>
      </w:pPr>
      <w:r>
        <w:rPr>
          <w:rFonts w:eastAsia="inter" w:cs="inter" w:ascii="inter" w:hAnsi="inter"/>
          <w:color w:val="000000"/>
          <w:sz w:val="21"/>
        </w:rPr>
        <w:t xml:space="preserve">French (native), English (professional).</w:t>
      </w:r>
    </w:p>
    <w:p>
      <w:pPr>
        <w:spacing w:line="360" w:after="210" w:lineRule="auto"/>
      </w:pPr>
      <w:r>
        <w:rPr>
          <w:rFonts w:eastAsia="inter" w:cs="inter" w:ascii="inter" w:hAnsi="inter"/>
          <w:color w:val="000000"/>
        </w:rPr>
        <w:t xml:space="preserve">Board &amp; advisory</w:t>
      </w:r>
    </w:p>
    <w:p>
      <w:pPr>
        <w:numPr>
          <w:ilvl w:val="0"/>
          <w:numId w:val="8"/>
        </w:numPr>
        <w:spacing w:line="360" w:before="105" w:after="105" w:lineRule="auto"/>
      </w:pPr>
      <w:r>
        <w:rPr>
          <w:rFonts w:eastAsia="inter" w:cs="inter" w:ascii="inter" w:hAnsi="inter"/>
          <w:color w:val="000000"/>
          <w:sz w:val="21"/>
        </w:rPr>
        <w:t xml:space="preserve">Executive leadership at FKG; engagement with clinical partners and industry bodies.</w:t>
      </w:r>
    </w:p>
    <w:p>
      <w:pPr>
        <w:spacing w:line="360" w:after="210" w:lineRule="auto"/>
      </w:pPr>
      <w:r>
        <w:rPr>
          <w:rFonts w:eastAsia="inter" w:cs="inter" w:ascii="inter" w:hAnsi="inter"/>
          <w:color w:val="000000"/>
        </w:rPr>
        <w:t xml:space="preserve">Availability</w:t>
      </w:r>
    </w:p>
    <w:p>
      <w:pPr>
        <w:numPr>
          <w:ilvl w:val="0"/>
          <w:numId w:val="9"/>
        </w:numPr>
        <w:spacing w:line="360" w:before="105" w:after="105" w:lineRule="auto"/>
      </w:pPr>
      <w:r>
        <w:rPr>
          <w:rFonts w:eastAsia="inter" w:cs="inter" w:ascii="inter" w:hAnsi="inter"/>
          <w:color w:val="000000"/>
          <w:sz w:val="21"/>
        </w:rPr>
        <w:t xml:space="preserve">Speaking, partnerships, and industry collaboration in medtech and dental innovation.</w:t>
      </w:r>
    </w:p>
    <w:p>
      <w:pPr>
        <w:spacing w:line="360" w:after="210" w:lineRule="auto"/>
      </w:pPr>
      <w:r>
        <w:rPr>
          <w:rFonts w:eastAsia="inter" w:cs="inter" w:ascii="inter" w:hAnsi="inter"/>
          <w:color w:val="000000"/>
        </w:rPr>
        <w:t xml:space="preserve">Souhaitez‑vous une version “one‑page” mise en page (PDF/Word) avec puces orientées résultats et un résumé LinkedIn assorti ?</w:t>
      </w:r>
      <w:r>
        <w:rPr>
          <w:rFonts w:eastAsia="inter" w:cs="inter" w:ascii="inter" w:hAnsi="inter"/>
          <w:color w:val="000000"/>
        </w:rPr>
        <w:br w:type="textWrapping"/>
      </w:r>
    </w:p>
    <w:p>
      <w:pPr>
        <w:spacing w:line="360" w:lineRule="auto"/>
        <w:jc w:val="center"/>
      </w:pPr>
      <w:r>
        <w:rPr>
          <w:rFonts w:eastAsia="inter" w:cs="inter" w:ascii="inter" w:hAnsi="inter"/>
          <w:color w:val="000000"/>
        </w:rPr>
        <w:t xml:space="preserve">⁂</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bookmarkStart w:id="0" w:name="fn1"/>
    <w:bookmarkEnd w:id="0"/>
    <w:p>
      <w:pPr>
        <w:numPr>
          <w:ilvl w:val="0"/>
          <w:numId w:val="11"/>
        </w:numPr>
        <w:spacing w:line="360" w:after="210" w:lineRule="auto"/>
      </w:pPr>
      <w:hyperlink r:id="rId6">
        <w:r>
          <w:rPr>
            <w:rFonts w:eastAsia="inter" w:cs="inter" w:ascii="inter" w:hAnsi="inter"/>
            <w:color w:val="#000"/>
            <w:sz w:val="18"/>
            <w:u w:val="single"/>
          </w:rPr>
          <w:t xml:space="preserve">https://fkg.ch/company/</w:t>
        </w:r>
      </w:hyperlink>
      <w:r>
        <w:rPr>
          <w:rFonts w:eastAsia="inter" w:cs="inter" w:ascii="inter" w:hAnsi="inter"/>
          <w:color w:val="000000"/>
          <w:sz w:val="18"/>
        </w:rPr>
        <w:t xml:space="preserve"> </w:t>
      </w:r>
    </w:p>
    <w:bookmarkStart w:id="1" w:name="fn2"/>
    <w:bookmarkEnd w:id="1"/>
    <w:p>
      <w:pPr>
        <w:numPr>
          <w:ilvl w:val="0"/>
          <w:numId w:val="11"/>
        </w:numPr>
        <w:spacing w:line="360" w:after="210" w:lineRule="auto"/>
      </w:pPr>
      <w:hyperlink r:id="rId7">
        <w:r>
          <w:rPr>
            <w:rFonts w:eastAsia="inter" w:cs="inter" w:ascii="inter" w:hAnsi="inter"/>
            <w:color w:val="#000"/>
            <w:sz w:val="18"/>
            <w:u w:val="single"/>
          </w:rPr>
          <w:t xml:space="preserve">https://www.crownkenya.com/fkg/</w:t>
        </w:r>
      </w:hyperlink>
      <w:r>
        <w:rPr>
          <w:rFonts w:eastAsia="inter" w:cs="inter" w:ascii="inter" w:hAnsi="inter"/>
          <w:color w:val="000000"/>
          <w:sz w:val="18"/>
        </w:rPr>
        <w:t xml:space="preserve"> </w:t>
      </w:r>
    </w:p>
    <w:bookmarkStart w:id="2" w:name="fn3"/>
    <w:bookmarkEnd w:id="2"/>
    <w:p>
      <w:pPr>
        <w:numPr>
          <w:ilvl w:val="0"/>
          <w:numId w:val="11"/>
        </w:numPr>
        <w:spacing w:line="360" w:after="210" w:lineRule="auto"/>
      </w:pPr>
      <w:hyperlink r:id="rId8">
        <w:r>
          <w:rPr>
            <w:rFonts w:eastAsia="inter" w:cs="inter" w:ascii="inter" w:hAnsi="inter"/>
            <w:color w:val="#000"/>
            <w:sz w:val="18"/>
            <w:u w:val="single"/>
          </w:rPr>
          <w:t xml:space="preserve">https://assets.letemps.ch/sites/default/files/media/2012/01/11/2.0.3018116890.pdf</w:t>
        </w:r>
      </w:hyperlink>
      <w:r>
        <w:rPr>
          <w:rFonts w:eastAsia="inter" w:cs="inter" w:ascii="inter" w:hAnsi="inter"/>
          <w:color w:val="000000"/>
          <w:sz w:val="18"/>
        </w:rPr>
        <w:t xml:space="preserve"> </w:t>
      </w:r>
    </w:p>
    <w:bookmarkStart w:id="3" w:name="fn4"/>
    <w:bookmarkEnd w:id="3"/>
    <w:p>
      <w:pPr>
        <w:numPr>
          <w:ilvl w:val="0"/>
          <w:numId w:val="11"/>
        </w:numPr>
        <w:spacing w:line="360" w:after="210" w:lineRule="auto"/>
      </w:pPr>
      <w:hyperlink r:id="rId9">
        <w:r>
          <w:rPr>
            <w:rFonts w:eastAsia="inter" w:cs="inter" w:ascii="inter" w:hAnsi="inter"/>
            <w:color w:val="#000"/>
            <w:sz w:val="18"/>
            <w:u w:val="single"/>
          </w:rPr>
          <w:t xml:space="preserve">https://esttmco.com/en/marque/fkg-en/</w:t>
        </w:r>
      </w:hyperlink>
      <w:r>
        <w:rPr>
          <w:rFonts w:eastAsia="inter" w:cs="inter" w:ascii="inter" w:hAnsi="inter"/>
          <w:color w:val="000000"/>
          <w:sz w:val="18"/>
        </w:rPr>
        <w:t xml:space="preserve"> </w:t>
      </w:r>
    </w:p>
    <w:bookmarkStart w:id="4" w:name="fn5"/>
    <w:bookmarkEnd w:id="4"/>
    <w:p>
      <w:pPr>
        <w:numPr>
          <w:ilvl w:val="0"/>
          <w:numId w:val="11"/>
        </w:numPr>
        <w:spacing w:line="360" w:after="210" w:lineRule="auto"/>
      </w:pPr>
      <w:hyperlink r:id="rId10">
        <w:r>
          <w:rPr>
            <w:rFonts w:eastAsia="inter" w:cs="inter" w:ascii="inter" w:hAnsi="inter"/>
            <w:color w:val="#000"/>
            <w:sz w:val="18"/>
            <w:u w:val="single"/>
          </w:rPr>
          <w:t xml:space="preserve">https://ch-fr.indeed.com/cmp/Fkg-Dentaire-Sa</w:t>
        </w:r>
      </w:hyperlink>
      <w:r>
        <w:rPr>
          <w:rFonts w:eastAsia="inter" w:cs="inter" w:ascii="inter" w:hAnsi="inter"/>
          <w:color w:val="000000"/>
          <w:sz w:val="18"/>
        </w:rPr>
        <w:t xml:space="preserve"> </w:t>
      </w:r>
    </w:p>
    <w:bookmarkStart w:id="5" w:name="fn6"/>
    <w:bookmarkEnd w:id="5"/>
    <w:p>
      <w:pPr>
        <w:numPr>
          <w:ilvl w:val="0"/>
          <w:numId w:val="11"/>
        </w:numPr>
        <w:spacing w:line="360" w:after="210" w:lineRule="auto"/>
      </w:pPr>
      <w:hyperlink r:id="rId11">
        <w:r>
          <w:rPr>
            <w:rFonts w:eastAsia="inter" w:cs="inter" w:ascii="inter" w:hAnsi="inter"/>
            <w:color w:val="#000"/>
            <w:sz w:val="18"/>
            <w:u w:val="single"/>
          </w:rPr>
          <w:t xml:space="preserve">https://optident.co.uk/manufacturer/fkg/</w:t>
        </w:r>
      </w:hyperlink>
      <w:r>
        <w:rPr>
          <w:rFonts w:eastAsia="inter" w:cs="inter" w:ascii="inter" w:hAnsi="inter"/>
          <w:color w:val="000000"/>
          <w:sz w:val="18"/>
        </w:rPr>
        <w:t xml:space="preserve"> </w:t>
      </w:r>
    </w:p>
    <w:bookmarkStart w:id="6" w:name="fn7"/>
    <w:bookmarkEnd w:id="6"/>
    <w:p>
      <w:pPr>
        <w:numPr>
          <w:ilvl w:val="0"/>
          <w:numId w:val="11"/>
        </w:numPr>
        <w:spacing w:line="360" w:after="210" w:lineRule="auto"/>
      </w:pPr>
      <w:hyperlink r:id="rId12">
        <w:r>
          <w:rPr>
            <w:rFonts w:eastAsia="inter" w:cs="inter" w:ascii="inter" w:hAnsi="inter"/>
            <w:color w:val="#000"/>
            <w:sz w:val="18"/>
            <w:u w:val="single"/>
          </w:rPr>
          <w:t xml:space="preserve">https://www.rtn.ch/rtn/Actualites/Regionale/20140829-FKG-celebre-20-ans-d-innovation.html</w:t>
        </w:r>
      </w:hyperlink>
      <w:r>
        <w:rPr>
          <w:rFonts w:eastAsia="inter" w:cs="inter" w:ascii="inter" w:hAnsi="inter"/>
          <w:color w:val="000000"/>
          <w:sz w:val="18"/>
        </w:rPr>
        <w:t xml:space="preserve"> </w:t>
      </w:r>
    </w:p>
    <w:bookmarkStart w:id="7" w:name="fn8"/>
    <w:bookmarkEnd w:id="7"/>
    <w:p>
      <w:pPr>
        <w:numPr>
          <w:ilvl w:val="0"/>
          <w:numId w:val="11"/>
        </w:numPr>
        <w:spacing w:line="360" w:after="210" w:lineRule="auto"/>
      </w:pPr>
      <w:hyperlink r:id="rId13">
        <w:r>
          <w:rPr>
            <w:rFonts w:eastAsia="inter" w:cs="inter" w:ascii="inter" w:hAnsi="inter"/>
            <w:color w:val="#000"/>
            <w:sz w:val="18"/>
            <w:u w:val="single"/>
          </w:rPr>
          <w:t xml:space="preserve">https://www.pme.ch/entreprises/2019/10/16/fkg-dentaire-aux-racines-succes-savoirfaire-innovation</w:t>
        </w:r>
      </w:hyperlink>
      <w:r>
        <w:rPr>
          <w:rFonts w:eastAsia="inter" w:cs="inter" w:ascii="inter" w:hAnsi="inter"/>
          <w:color w:val="000000"/>
          <w:sz w:val="18"/>
        </w:rPr>
        <w:t xml:space="preserve"> </w:t>
      </w:r>
    </w:p>
    <w:bookmarkStart w:id="8" w:name="fn9"/>
    <w:bookmarkEnd w:id="8"/>
    <w:p>
      <w:pPr>
        <w:numPr>
          <w:ilvl w:val="0"/>
          <w:numId w:val="11"/>
        </w:numPr>
        <w:spacing w:line="360" w:after="210" w:lineRule="auto"/>
      </w:pPr>
      <w:hyperlink r:id="rId14">
        <w:r>
          <w:rPr>
            <w:rFonts w:eastAsia="inter" w:cs="inter" w:ascii="inter" w:hAnsi="inter"/>
            <w:color w:val="#000"/>
            <w:sz w:val="18"/>
            <w:u w:val="single"/>
          </w:rPr>
          <w:t xml:space="preserve">https://pdf.medicalexpo.fr/pdf/fkg-dentaire/race-family/72216-156766.html</w:t>
        </w:r>
      </w:hyperlink>
      <w:r>
        <w:rPr>
          <w:rFonts w:eastAsia="inter" w:cs="inter" w:ascii="inter" w:hAnsi="inter"/>
          <w:color w:val="000000"/>
          <w:sz w:val="18"/>
        </w:rPr>
        <w:t xml:space="preserve"> </w:t>
      </w:r>
    </w:p>
    <w:sectPr>
      <w:pgSz w:w="12240" w:h="15840" w:orient="portrait"/>
      <w:pgMar w:top="1365" w:right="1365" w:bottom="1365" w:left="1365"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inter">
    <w:family w:val="auto"/>
    <w:pitch w:val="variable"/>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2">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3">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4">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5">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6">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7">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8">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9">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10">
    <w:multiLevelType w:val="hybridMultilevel"/>
  </w:abstractNum>
  <w:abstractNum w:abstractNumId="11">
    <w:multiLevelType w:val="hybridMultilevel"/>
    <w:lvl w:ilvl="0">
      <w:start w:val="1"/>
      <w:numFmt w:val="decimal"/>
      <w:lvlText w:val="%1."/>
      <w:lvlJc w:val="left"/>
      <w:pPr>
        <w:tabs>
          <w:tab w:val="num" w:pos="900"/>
        </w:tabs>
        <w:ind w:left="54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1"/>
      <w:szCs w:val="22"/>
      <w:lang w:val="en-US"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debd50a38bc50b34cb1263248d1c2f5ff2d0b495.png" TargetMode="Internal"/><Relationship Id="rId6" Type="http://schemas.openxmlformats.org/officeDocument/2006/relationships/hyperlink" Target="https://fkg.ch/company/" TargetMode="External"/><Relationship Id="rId7" Type="http://schemas.openxmlformats.org/officeDocument/2006/relationships/hyperlink" Target="https://www.crownkenya.com/fkg/" TargetMode="External"/><Relationship Id="rId8" Type="http://schemas.openxmlformats.org/officeDocument/2006/relationships/hyperlink" Target="https://assets.letemps.ch/sites/default/files/media/2012/01/11/2.0.3018116890.pdf" TargetMode="External"/><Relationship Id="rId9" Type="http://schemas.openxmlformats.org/officeDocument/2006/relationships/hyperlink" Target="https://esttmco.com/en/marque/fkg-en/" TargetMode="External"/><Relationship Id="rId10" Type="http://schemas.openxmlformats.org/officeDocument/2006/relationships/hyperlink" Target="https://ch-fr.indeed.com/cmp/Fkg-Dentaire-Sa" TargetMode="External"/><Relationship Id="rId11" Type="http://schemas.openxmlformats.org/officeDocument/2006/relationships/hyperlink" Target="https://optident.co.uk/manufacturer/fkg/" TargetMode="External"/><Relationship Id="rId12" Type="http://schemas.openxmlformats.org/officeDocument/2006/relationships/hyperlink" Target="https://www.rtn.ch/rtn/Actualites/Regionale/20140829-FKG-celebre-20-ans-d-innovation.html" TargetMode="External"/><Relationship Id="rId13" Type="http://schemas.openxmlformats.org/officeDocument/2006/relationships/hyperlink" Target="https://www.pme.ch/entreprises/2019/10/16/fkg-dentaire-aux-racines-succes-savoirfaire-innovation" TargetMode="External"/><Relationship Id="rId14" Type="http://schemas.openxmlformats.org/officeDocument/2006/relationships/hyperlink" Target="https://pdf.medicalexpo.fr/pdf/fkg-dentaire/race-family/72216-156766.html" TargetMode="Ex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2025-09-15T11:52:41.790Z</dcterms:created>
  <dcterms:modified xsi:type="dcterms:W3CDTF">2025-09-15T11:52:41.790Z</dcterms:modified>
</cp:coreProperties>
</file>