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696becb298cc51c14f63d99e5d95fc5116862372.png"/>
            <a:graphic>
              <a:graphicData uri="http://schemas.openxmlformats.org/drawingml/2006/picture">
                <pic:pic>
                  <pic:nvPicPr>
                    <pic:cNvPr id="1" name="image-696becb298cc51c14f63d99e5d95fc5116862372.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fais moi un résumé de frederic Lissalde</w:t>
      </w:r>
    </w:p>
    <w:p>
      <w:pPr>
        <w:spacing w:line="360" w:after="210" w:lineRule="auto"/>
      </w:pPr>
      <w:r>
        <w:rPr>
          <w:rFonts w:eastAsia="inter" w:cs="inter" w:ascii="inter" w:hAnsi="inter"/>
          <w:color w:val="000000"/>
        </w:rPr>
        <w:t xml:space="preserve">Voici un résumé de CV en anglais de Frédéric Lissalde, prêt à l’usage.</w:t>
      </w:r>
    </w:p>
    <w:p>
      <w:pPr>
        <w:spacing w:line="360" w:after="210" w:lineRule="auto"/>
      </w:pPr>
      <w:r>
        <w:rPr>
          <w:rFonts w:eastAsia="inter" w:cs="inter" w:ascii="inter" w:hAnsi="inter"/>
          <w:color w:val="000000"/>
        </w:rPr>
        <w:t xml:space="preserve">Frédéric Lissalde is a French business leader who served as President and CEO of BorgWarner Inc. from 2018 to 2025, after joining the company in 2000 and rising through senior roles in turbo systems, transmission systems, and global sales; he previously held engineering and commercial positions at Valeo and ZF. He is a graduate of Arts et Métiers (ENSAM) and HEC Paris, with executive education at INSEAD, Harvard, and MIT, and is a recipient of the Nessim Habif Award recognizing distinguished engineering leaders.</w:t>
      </w:r>
    </w:p>
    <w:p>
      <w:pPr>
        <w:spacing w:line="360" w:after="210" w:lineRule="auto"/>
      </w:pPr>
      <w:r>
        <w:rPr>
          <w:rFonts w:eastAsia="inter" w:cs="inter" w:ascii="inter" w:hAnsi="inter"/>
          <w:color w:val="000000"/>
        </w:rPr>
        <w:t xml:space="preserve">Profile</w:t>
      </w:r>
    </w:p>
    <w:p>
      <w:pPr>
        <w:numPr>
          <w:ilvl w:val="0"/>
          <w:numId w:val="1"/>
        </w:numPr>
        <w:spacing w:line="360" w:before="105" w:after="105" w:lineRule="auto"/>
      </w:pPr>
      <w:r>
        <w:rPr>
          <w:rFonts w:eastAsia="inter" w:cs="inter" w:ascii="inter" w:hAnsi="inter"/>
          <w:color w:val="000000"/>
          <w:sz w:val="21"/>
        </w:rPr>
        <w:t xml:space="preserve">Global automotive and mobility executive with 25+ years in powertrain and electrification, leading large P&amp;L transformations and portfolio shifts toward e‑propulsion.</w:t>
      </w:r>
    </w:p>
    <w:p>
      <w:pPr>
        <w:numPr>
          <w:ilvl w:val="0"/>
          <w:numId w:val="1"/>
        </w:numPr>
        <w:spacing w:line="360" w:before="105" w:after="105" w:lineRule="auto"/>
      </w:pPr>
      <w:r>
        <w:rPr>
          <w:rFonts w:eastAsia="inter" w:cs="inter" w:ascii="inter" w:hAnsi="inter"/>
          <w:color w:val="000000"/>
          <w:sz w:val="21"/>
        </w:rPr>
        <w:t xml:space="preserve">Deep experience across Europe, the US, and Asia in product leadership (turbos, clutches, transmissions), operations, and commercial scaling.</w:t>
      </w:r>
    </w:p>
    <w:p>
      <w:pPr>
        <w:spacing w:line="360" w:after="210" w:lineRule="auto"/>
      </w:pPr>
      <w:r>
        <w:rPr>
          <w:rFonts w:eastAsia="inter" w:cs="inter" w:ascii="inter" w:hAnsi="inter"/>
          <w:color w:val="000000"/>
        </w:rPr>
        <w:t xml:space="preserve">Core competencies</w:t>
      </w:r>
    </w:p>
    <w:p>
      <w:pPr>
        <w:numPr>
          <w:ilvl w:val="0"/>
          <w:numId w:val="2"/>
        </w:numPr>
        <w:spacing w:line="360" w:before="105" w:after="105" w:lineRule="auto"/>
      </w:pPr>
      <w:r>
        <w:rPr>
          <w:rFonts w:eastAsia="inter" w:cs="inter" w:ascii="inter" w:hAnsi="inter"/>
          <w:color w:val="000000"/>
          <w:sz w:val="21"/>
        </w:rPr>
        <w:t xml:space="preserve">Powertrain/e‑propulsion strategy and portfolio transformation</w:t>
      </w:r>
    </w:p>
    <w:p>
      <w:pPr>
        <w:numPr>
          <w:ilvl w:val="0"/>
          <w:numId w:val="2"/>
        </w:numPr>
        <w:spacing w:line="360" w:before="105" w:after="105" w:lineRule="auto"/>
      </w:pPr>
      <w:r>
        <w:rPr>
          <w:rFonts w:eastAsia="inter" w:cs="inter" w:ascii="inter" w:hAnsi="inter"/>
          <w:color w:val="000000"/>
          <w:sz w:val="21"/>
        </w:rPr>
        <w:t xml:space="preserve">Multi‑billion P&amp;L leadership, operational excellence, M&amp;A and integrations</w:t>
      </w:r>
    </w:p>
    <w:p>
      <w:pPr>
        <w:numPr>
          <w:ilvl w:val="0"/>
          <w:numId w:val="2"/>
        </w:numPr>
        <w:spacing w:line="360" w:before="105" w:after="105" w:lineRule="auto"/>
      </w:pPr>
      <w:r>
        <w:rPr>
          <w:rFonts w:eastAsia="inter" w:cs="inter" w:ascii="inter" w:hAnsi="inter"/>
          <w:color w:val="000000"/>
          <w:sz w:val="21"/>
        </w:rPr>
        <w:t xml:space="preserve">Global product/engineering leadership (turbo, DCT/clutch, drivetrain)</w:t>
      </w:r>
    </w:p>
    <w:p>
      <w:pPr>
        <w:numPr>
          <w:ilvl w:val="0"/>
          <w:numId w:val="2"/>
        </w:numPr>
        <w:spacing w:line="360" w:before="105" w:after="105" w:lineRule="auto"/>
      </w:pPr>
      <w:r>
        <w:rPr>
          <w:rFonts w:eastAsia="inter" w:cs="inter" w:ascii="inter" w:hAnsi="inter"/>
          <w:color w:val="000000"/>
          <w:sz w:val="21"/>
        </w:rPr>
        <w:t xml:space="preserve">Enterprise go‑to‑market, OEM partnerships, and program execution</w:t>
      </w:r>
    </w:p>
    <w:p>
      <w:pPr>
        <w:numPr>
          <w:ilvl w:val="0"/>
          <w:numId w:val="2"/>
        </w:numPr>
        <w:spacing w:line="360" w:before="105" w:after="105" w:lineRule="auto"/>
      </w:pPr>
      <w:r>
        <w:rPr>
          <w:rFonts w:eastAsia="inter" w:cs="inter" w:ascii="inter" w:hAnsi="inter"/>
          <w:color w:val="000000"/>
          <w:sz w:val="21"/>
        </w:rPr>
        <w:t xml:space="preserve">Board governance, sustainability, and industry coalitions</w:t>
      </w:r>
    </w:p>
    <w:p>
      <w:pPr>
        <w:spacing w:line="360" w:after="210" w:lineRule="auto"/>
      </w:pPr>
      <w:r>
        <w:rPr>
          <w:rFonts w:eastAsia="inter" w:cs="inter" w:ascii="inter" w:hAnsi="inter"/>
          <w:color w:val="000000"/>
        </w:rPr>
        <w:t xml:space="preserve">Professional experience</w:t>
      </w:r>
    </w:p>
    <w:p>
      <w:pPr>
        <w:numPr>
          <w:ilvl w:val="0"/>
          <w:numId w:val="3"/>
        </w:numPr>
        <w:spacing w:line="360" w:before="105" w:after="105" w:lineRule="auto"/>
      </w:pPr>
      <w:r>
        <w:rPr>
          <w:rFonts w:eastAsia="inter" w:cs="inter" w:ascii="inter" w:hAnsi="inter"/>
          <w:color w:val="000000"/>
          <w:sz w:val="21"/>
        </w:rPr>
        <w:t xml:space="preserve">President &amp; Chief Executive Officer — BorgWarner Inc. (2018–2025)</w:t>
      </w:r>
    </w:p>
    <w:p>
      <w:pPr>
        <w:numPr>
          <w:ilvl w:val="1"/>
          <w:numId w:val="3"/>
        </w:numPr>
        <w:spacing w:line="360" w:before="105" w:after="105" w:lineRule="auto"/>
      </w:pPr>
      <w:r>
        <w:rPr>
          <w:rFonts w:eastAsia="inter" w:cs="inter" w:ascii="inter" w:hAnsi="inter"/>
          <w:color w:val="000000"/>
          <w:sz w:val="21"/>
        </w:rPr>
        <w:t xml:space="preserve">Led the company’s transition toward electrified propulsion, portfolio optimization, and disciplined capital allocation; engaged with OEMs worldwide on e‑mobility roadmaps.</w:t>
      </w:r>
    </w:p>
    <w:p>
      <w:pPr>
        <w:numPr>
          <w:ilvl w:val="0"/>
          <w:numId w:val="3"/>
        </w:numPr>
        <w:spacing w:line="360" w:before="105" w:after="105" w:lineRule="auto"/>
      </w:pPr>
      <w:r>
        <w:rPr>
          <w:rFonts w:eastAsia="inter" w:cs="inter" w:ascii="inter" w:hAnsi="inter"/>
          <w:color w:val="000000"/>
          <w:sz w:val="21"/>
        </w:rPr>
        <w:t xml:space="preserve">Chief Operating Officer — BorgWarner Inc. (2018)</w:t>
      </w:r>
    </w:p>
    <w:p>
      <w:pPr>
        <w:numPr>
          <w:ilvl w:val="1"/>
          <w:numId w:val="3"/>
        </w:numPr>
        <w:spacing w:line="360" w:before="105" w:after="105" w:lineRule="auto"/>
      </w:pPr>
      <w:r>
        <w:rPr>
          <w:rFonts w:eastAsia="inter" w:cs="inter" w:ascii="inter" w:hAnsi="inter"/>
          <w:color w:val="000000"/>
          <w:sz w:val="21"/>
        </w:rPr>
        <w:t xml:space="preserve">Drove cross‑business execution, supply chain resilience, and operational performance.</w:t>
      </w:r>
    </w:p>
    <w:p>
      <w:pPr>
        <w:numPr>
          <w:ilvl w:val="0"/>
          <w:numId w:val="3"/>
        </w:numPr>
        <w:spacing w:line="360" w:before="105" w:after="105" w:lineRule="auto"/>
      </w:pPr>
      <w:r>
        <w:rPr>
          <w:rFonts w:eastAsia="inter" w:cs="inter" w:ascii="inter" w:hAnsi="inter"/>
          <w:color w:val="000000"/>
          <w:sz w:val="21"/>
        </w:rPr>
        <w:t xml:space="preserve">President &amp; General Manager, Turbo Systems — BorgWarner (2010–2017)</w:t>
      </w:r>
    </w:p>
    <w:p>
      <w:pPr>
        <w:numPr>
          <w:ilvl w:val="1"/>
          <w:numId w:val="3"/>
        </w:numPr>
        <w:spacing w:line="360" w:before="105" w:after="105" w:lineRule="auto"/>
      </w:pPr>
      <w:r>
        <w:rPr>
          <w:rFonts w:eastAsia="inter" w:cs="inter" w:ascii="inter" w:hAnsi="inter"/>
          <w:color w:val="000000"/>
          <w:sz w:val="21"/>
        </w:rPr>
        <w:t xml:space="preserve">Led BorgWarner’s largest business, advancing high‑efficiency turbo technologies and global manufacturing footprints.</w:t>
      </w:r>
    </w:p>
    <w:p>
      <w:pPr>
        <w:numPr>
          <w:ilvl w:val="0"/>
          <w:numId w:val="3"/>
        </w:numPr>
        <w:spacing w:line="360" w:before="105" w:after="105" w:lineRule="auto"/>
      </w:pPr>
      <w:r>
        <w:rPr>
          <w:rFonts w:eastAsia="inter" w:cs="inter" w:ascii="inter" w:hAnsi="inter"/>
          <w:color w:val="000000"/>
          <w:sz w:val="21"/>
        </w:rPr>
        <w:t xml:space="preserve">VP &amp; GM, DualTronic and Clutch Systems; VP Global Sales, Transmission Systems — BorgWarner (2007–2010)</w:t>
      </w:r>
    </w:p>
    <w:p>
      <w:pPr>
        <w:numPr>
          <w:ilvl w:val="1"/>
          <w:numId w:val="3"/>
        </w:numPr>
        <w:spacing w:line="360" w:before="105" w:after="105" w:lineRule="auto"/>
      </w:pPr>
      <w:r>
        <w:rPr>
          <w:rFonts w:eastAsia="inter" w:cs="inter" w:ascii="inter" w:hAnsi="inter"/>
          <w:color w:val="000000"/>
          <w:sz w:val="21"/>
        </w:rPr>
        <w:t xml:space="preserve">Scaled DCT and clutch portfolios; expanded global customer base and program wins.</w:t>
      </w:r>
    </w:p>
    <w:p>
      <w:pPr>
        <w:numPr>
          <w:ilvl w:val="0"/>
          <w:numId w:val="3"/>
        </w:numPr>
        <w:spacing w:line="360" w:before="105" w:after="105" w:lineRule="auto"/>
      </w:pPr>
      <w:r>
        <w:rPr>
          <w:rFonts w:eastAsia="inter" w:cs="inter" w:ascii="inter" w:hAnsi="inter"/>
          <w:color w:val="000000"/>
          <w:sz w:val="21"/>
        </w:rPr>
        <w:t xml:space="preserve">Director General, BW France; Sales Director — BorgWarner (2000–2007)</w:t>
      </w:r>
    </w:p>
    <w:p>
      <w:pPr>
        <w:numPr>
          <w:ilvl w:val="1"/>
          <w:numId w:val="3"/>
        </w:numPr>
        <w:spacing w:line="360" w:before="105" w:after="105" w:lineRule="auto"/>
      </w:pPr>
      <w:r>
        <w:rPr>
          <w:rFonts w:eastAsia="inter" w:cs="inter" w:ascii="inter" w:hAnsi="inter"/>
          <w:color w:val="000000"/>
          <w:sz w:val="21"/>
        </w:rPr>
        <w:t xml:space="preserve">Site and country leadership; grew key accounts and regional operations.</w:t>
      </w:r>
    </w:p>
    <w:p>
      <w:pPr>
        <w:numPr>
          <w:ilvl w:val="0"/>
          <w:numId w:val="3"/>
        </w:numPr>
        <w:spacing w:line="360" w:before="105" w:after="105" w:lineRule="auto"/>
      </w:pPr>
      <w:r>
        <w:rPr>
          <w:rFonts w:eastAsia="inter" w:cs="inter" w:ascii="inter" w:hAnsi="inter"/>
          <w:color w:val="000000"/>
          <w:sz w:val="21"/>
        </w:rPr>
        <w:t xml:space="preserve">Engineering, Program Management, Sales — Valeo; roles at ZF (pre‑2000)</w:t>
      </w:r>
    </w:p>
    <w:p>
      <w:pPr>
        <w:numPr>
          <w:ilvl w:val="1"/>
          <w:numId w:val="3"/>
        </w:numPr>
        <w:spacing w:line="360" w:before="105" w:after="105" w:lineRule="auto"/>
      </w:pPr>
      <w:r>
        <w:rPr>
          <w:rFonts w:eastAsia="inter" w:cs="inter" w:ascii="inter" w:hAnsi="inter"/>
          <w:color w:val="000000"/>
          <w:sz w:val="21"/>
        </w:rPr>
        <w:t xml:space="preserve">Early career across engineering and commercial functions in Europe and Japan.</w:t>
      </w:r>
    </w:p>
    <w:p>
      <w:pPr>
        <w:spacing w:line="360" w:after="210" w:lineRule="auto"/>
      </w:pPr>
      <w:r>
        <w:rPr>
          <w:rFonts w:eastAsia="inter" w:cs="inter" w:ascii="inter" w:hAnsi="inter"/>
          <w:color w:val="000000"/>
        </w:rPr>
        <w:t xml:space="preserve">Board and affiliations</w:t>
      </w:r>
    </w:p>
    <w:p>
      <w:pPr>
        <w:numPr>
          <w:ilvl w:val="0"/>
          <w:numId w:val="4"/>
        </w:numPr>
        <w:spacing w:line="360" w:before="105" w:after="105" w:lineRule="auto"/>
      </w:pPr>
      <w:r>
        <w:rPr>
          <w:rFonts w:eastAsia="inter" w:cs="inter" w:ascii="inter" w:hAnsi="inter"/>
          <w:color w:val="000000"/>
          <w:sz w:val="21"/>
        </w:rPr>
        <w:t xml:space="preserve">Independent director roles in advanced safety and semiconductor industries (e.g., Autoliv, Soitec).</w:t>
      </w:r>
    </w:p>
    <w:p>
      <w:pPr>
        <w:numPr>
          <w:ilvl w:val="0"/>
          <w:numId w:val="4"/>
        </w:numPr>
        <w:spacing w:line="360" w:before="105" w:after="105" w:lineRule="auto"/>
      </w:pPr>
      <w:r>
        <w:rPr>
          <w:rFonts w:eastAsia="inter" w:cs="inter" w:ascii="inter" w:hAnsi="inter"/>
          <w:color w:val="000000"/>
          <w:sz w:val="21"/>
        </w:rPr>
        <w:t xml:space="preserve">Member of executive industry groups and diversity &amp; inclusion coalitions.</w:t>
      </w:r>
    </w:p>
    <w:p>
      <w:pPr>
        <w:spacing w:line="360" w:after="210" w:lineRule="auto"/>
      </w:pPr>
      <w:r>
        <w:rPr>
          <w:rFonts w:eastAsia="inter" w:cs="inter" w:ascii="inter" w:hAnsi="inter"/>
          <w:color w:val="000000"/>
        </w:rPr>
        <w:t xml:space="preserve">Education</w:t>
      </w:r>
    </w:p>
    <w:p>
      <w:pPr>
        <w:numPr>
          <w:ilvl w:val="0"/>
          <w:numId w:val="5"/>
        </w:numPr>
        <w:spacing w:line="360" w:before="105" w:after="105" w:lineRule="auto"/>
      </w:pPr>
      <w:r>
        <w:rPr>
          <w:rFonts w:eastAsia="inter" w:cs="inter" w:ascii="inter" w:hAnsi="inter"/>
          <w:color w:val="000000"/>
          <w:sz w:val="21"/>
        </w:rPr>
        <w:t xml:space="preserve">MSc/MEng — Arts et Métiers (ENSAM).</w:t>
      </w:r>
    </w:p>
    <w:p>
      <w:pPr>
        <w:numPr>
          <w:ilvl w:val="0"/>
          <w:numId w:val="5"/>
        </w:numPr>
        <w:spacing w:line="360" w:before="105" w:after="105" w:lineRule="auto"/>
      </w:pPr>
      <w:r>
        <w:rPr>
          <w:rFonts w:eastAsia="inter" w:cs="inter" w:ascii="inter" w:hAnsi="inter"/>
          <w:color w:val="000000"/>
          <w:sz w:val="21"/>
        </w:rPr>
        <w:t xml:space="preserve">MBA — HEC Paris.</w:t>
      </w:r>
    </w:p>
    <w:p>
      <w:pPr>
        <w:numPr>
          <w:ilvl w:val="0"/>
          <w:numId w:val="5"/>
        </w:numPr>
        <w:spacing w:line="360" w:before="105" w:after="105" w:lineRule="auto"/>
      </w:pPr>
      <w:r>
        <w:rPr>
          <w:rFonts w:eastAsia="inter" w:cs="inter" w:ascii="inter" w:hAnsi="inter"/>
          <w:color w:val="000000"/>
          <w:sz w:val="21"/>
        </w:rPr>
        <w:t xml:space="preserve">Executive programs — INSEAD, Harvard, MIT.</w:t>
      </w:r>
    </w:p>
    <w:p>
      <w:pPr>
        <w:spacing w:line="360" w:after="210" w:lineRule="auto"/>
      </w:pPr>
      <w:r>
        <w:rPr>
          <w:rFonts w:eastAsia="inter" w:cs="inter" w:ascii="inter" w:hAnsi="inter"/>
          <w:color w:val="000000"/>
        </w:rPr>
        <w:t xml:space="preserve">Honors</w:t>
      </w:r>
    </w:p>
    <w:p>
      <w:pPr>
        <w:numPr>
          <w:ilvl w:val="0"/>
          <w:numId w:val="6"/>
        </w:numPr>
        <w:spacing w:line="360" w:before="105" w:after="105" w:lineRule="auto"/>
      </w:pPr>
      <w:r>
        <w:rPr>
          <w:rFonts w:eastAsia="inter" w:cs="inter" w:ascii="inter" w:hAnsi="inter"/>
          <w:color w:val="000000"/>
          <w:sz w:val="21"/>
        </w:rPr>
        <w:t xml:space="preserve">Nessim Habif Award (Arts et Métiers alumni distinction for outstanding engineering leaders).</w:t>
      </w:r>
    </w:p>
    <w:p>
      <w:pPr>
        <w:spacing w:line="360" w:after="210" w:lineRule="auto"/>
      </w:pPr>
      <w:r>
        <w:rPr>
          <w:rFonts w:eastAsia="inter" w:cs="inter" w:ascii="inter" w:hAnsi="inter"/>
          <w:color w:val="000000"/>
        </w:rPr>
        <w:t xml:space="preserve">Languages</w:t>
      </w:r>
    </w:p>
    <w:p>
      <w:pPr>
        <w:numPr>
          <w:ilvl w:val="0"/>
          <w:numId w:val="7"/>
        </w:numPr>
        <w:spacing w:line="360" w:before="105" w:after="105" w:lineRule="auto"/>
      </w:pPr>
      <w:r>
        <w:rPr>
          <w:rFonts w:eastAsia="inter" w:cs="inter" w:ascii="inter" w:hAnsi="inter"/>
          <w:color w:val="000000"/>
          <w:sz w:val="21"/>
        </w:rPr>
        <w:t xml:space="preserve">French (native), English (fluent).</w:t>
      </w:r>
      <w:r>
        <w:rPr>
          <w:rFonts w:eastAsia="inter" w:cs="inter" w:ascii="inter" w:hAnsi="inter"/>
          <w:color w:val="000000"/>
          <w:sz w:val="21"/>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0" w:name="fn1"/>
    <w:bookmarkEnd w:id="0"/>
    <w:p>
      <w:pPr>
        <w:numPr>
          <w:ilvl w:val="0"/>
          <w:numId w:val="9"/>
        </w:numPr>
        <w:spacing w:line="360" w:after="210" w:lineRule="auto"/>
      </w:pPr>
      <w:hyperlink r:id="rId6">
        <w:r>
          <w:rPr>
            <w:rFonts w:eastAsia="inter" w:cs="inter" w:ascii="inter" w:hAnsi="inter"/>
            <w:color w:val="#000"/>
            <w:sz w:val="18"/>
            <w:u w:val="single"/>
          </w:rPr>
          <w:t xml:space="preserve">https://association.centralesupelec-alumni.com/fr/event/frederic-lissalde-ceo-de-borg-warner-recoit-le-prix-nessim-habif-et-nous-parle-de-sa-carriere-de-dirigeant/2023/03/06/6837</w:t>
        </w:r>
      </w:hyperlink>
      <w:r>
        <w:rPr>
          <w:rFonts w:eastAsia="inter" w:cs="inter" w:ascii="inter" w:hAnsi="inter"/>
          <w:color w:val="000000"/>
          <w:sz w:val="18"/>
        </w:rPr>
        <w:t xml:space="preserve"> </w:t>
      </w:r>
    </w:p>
    <w:bookmarkStart w:id="1" w:name="fn2"/>
    <w:bookmarkEnd w:id="1"/>
    <w:p>
      <w:pPr>
        <w:numPr>
          <w:ilvl w:val="0"/>
          <w:numId w:val="9"/>
        </w:numPr>
        <w:spacing w:line="360" w:after="210" w:lineRule="auto"/>
      </w:pPr>
      <w:hyperlink r:id="rId7">
        <w:r>
          <w:rPr>
            <w:rFonts w:eastAsia="inter" w:cs="inter" w:ascii="inter" w:hAnsi="inter"/>
            <w:color w:val="#000"/>
            <w:sz w:val="18"/>
            <w:u w:val="single"/>
          </w:rPr>
          <w:t xml:space="preserve">https://www.maghreb-rechange.com/frederic-lissalde-pdg-de-borgwarner-laureat-du-prestigieux-prix-nessim-habif/</w:t>
        </w:r>
      </w:hyperlink>
      <w:r>
        <w:rPr>
          <w:rFonts w:eastAsia="inter" w:cs="inter" w:ascii="inter" w:hAnsi="inter"/>
          <w:color w:val="000000"/>
          <w:sz w:val="18"/>
        </w:rPr>
        <w:t xml:space="preserve"> </w:t>
      </w:r>
    </w:p>
    <w:bookmarkStart w:id="2" w:name="fn3"/>
    <w:bookmarkEnd w:id="2"/>
    <w:p>
      <w:pPr>
        <w:numPr>
          <w:ilvl w:val="0"/>
          <w:numId w:val="9"/>
        </w:numPr>
        <w:spacing w:line="360" w:after="210" w:lineRule="auto"/>
      </w:pPr>
      <w:hyperlink r:id="rId8">
        <w:r>
          <w:rPr>
            <w:rFonts w:eastAsia="inter" w:cs="inter" w:ascii="inter" w:hAnsi="inter"/>
            <w:color w:val="#000"/>
            <w:sz w:val="18"/>
            <w:u w:val="single"/>
          </w:rPr>
          <w:t xml:space="preserve">https://www.lemonde.fr/economie/article/2019/02/04/ces-francais-qui-comptent-dans-le-secteur-automobile-aux-etats-unis_5418917_3234.html</w:t>
        </w:r>
      </w:hyperlink>
      <w:r>
        <w:rPr>
          <w:rFonts w:eastAsia="inter" w:cs="inter" w:ascii="inter" w:hAnsi="inter"/>
          <w:color w:val="000000"/>
          <w:sz w:val="18"/>
        </w:rPr>
        <w:t xml:space="preserve"> </w:t>
      </w:r>
    </w:p>
    <w:bookmarkStart w:id="3" w:name="fn4"/>
    <w:bookmarkEnd w:id="3"/>
    <w:p>
      <w:pPr>
        <w:numPr>
          <w:ilvl w:val="0"/>
          <w:numId w:val="9"/>
        </w:numPr>
        <w:spacing w:line="360" w:after="210" w:lineRule="auto"/>
      </w:pPr>
      <w:hyperlink r:id="rId9">
        <w:r>
          <w:rPr>
            <w:rFonts w:eastAsia="inter" w:cs="inter" w:ascii="inter" w:hAnsi="inter"/>
            <w:color w:val="#000"/>
            <w:sz w:val="18"/>
            <w:u w:val="single"/>
          </w:rPr>
          <w:t xml:space="preserve">https://www.linkedin.com/in/frédéric-lissalde-11602214</w:t>
        </w:r>
      </w:hyperlink>
      <w:r>
        <w:rPr>
          <w:rFonts w:eastAsia="inter" w:cs="inter" w:ascii="inter" w:hAnsi="inter"/>
          <w:color w:val="000000"/>
          <w:sz w:val="18"/>
        </w:rPr>
        <w:t xml:space="preserve"> </w:t>
      </w:r>
    </w:p>
    <w:bookmarkStart w:id="4" w:name="fn5"/>
    <w:bookmarkEnd w:id="4"/>
    <w:p>
      <w:pPr>
        <w:numPr>
          <w:ilvl w:val="0"/>
          <w:numId w:val="9"/>
        </w:numPr>
        <w:spacing w:line="360" w:after="210" w:lineRule="auto"/>
      </w:pPr>
      <w:hyperlink r:id="rId10">
        <w:r>
          <w:rPr>
            <w:rFonts w:eastAsia="inter" w:cs="inter" w:ascii="inter" w:hAnsi="inter"/>
            <w:color w:val="#000"/>
            <w:sz w:val="18"/>
            <w:u w:val="single"/>
          </w:rPr>
          <w:t xml:space="preserve">https://en.wikipedia.org/wiki/Frédéric_Lissalde</w:t>
        </w:r>
      </w:hyperlink>
      <w:r>
        <w:rPr>
          <w:rFonts w:eastAsia="inter" w:cs="inter" w:ascii="inter" w:hAnsi="inter"/>
          <w:color w:val="000000"/>
          <w:sz w:val="18"/>
        </w:rPr>
        <w:t xml:space="preserve"> </w:t>
      </w:r>
    </w:p>
    <w:bookmarkStart w:id="5" w:name="fn6"/>
    <w:bookmarkEnd w:id="5"/>
    <w:p>
      <w:pPr>
        <w:numPr>
          <w:ilvl w:val="0"/>
          <w:numId w:val="9"/>
        </w:numPr>
        <w:spacing w:line="360" w:after="210" w:lineRule="auto"/>
      </w:pPr>
      <w:hyperlink r:id="rId11">
        <w:r>
          <w:rPr>
            <w:rFonts w:eastAsia="inter" w:cs="inter" w:ascii="inter" w:hAnsi="inter"/>
            <w:color w:val="#000"/>
            <w:sz w:val="18"/>
            <w:u w:val="single"/>
          </w:rPr>
          <w:t xml:space="preserve">https://ch.zonebourse.com/insider/FREDERIC-LISSALDE-A02849/</w:t>
        </w:r>
      </w:hyperlink>
      <w:r>
        <w:rPr>
          <w:rFonts w:eastAsia="inter" w:cs="inter" w:ascii="inter" w:hAnsi="inter"/>
          <w:color w:val="000000"/>
          <w:sz w:val="18"/>
        </w:rPr>
        <w:t xml:space="preserve"> </w:t>
      </w:r>
    </w:p>
    <w:bookmarkStart w:id="6" w:name="fn7"/>
    <w:bookmarkEnd w:id="6"/>
    <w:p>
      <w:pPr>
        <w:numPr>
          <w:ilvl w:val="0"/>
          <w:numId w:val="9"/>
        </w:numPr>
        <w:spacing w:line="360" w:after="210" w:lineRule="auto"/>
      </w:pPr>
      <w:hyperlink r:id="rId12">
        <w:r>
          <w:rPr>
            <w:rFonts w:eastAsia="inter" w:cs="inter" w:ascii="inter" w:hAnsi="inter"/>
            <w:color w:val="#000"/>
            <w:sz w:val="18"/>
            <w:u w:val="single"/>
          </w:rPr>
          <w:t xml:space="preserve">https://www.borgwarner.com/docs/default-source/press-release-downloads/frederic-lissalde-ceo-biography.pdf?sfvrsn=b867b53c_4</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lvl w:ilvl="1">
      <w:start w:val="1"/>
      <w:numFmt w:val="bullet"/>
      <w:lvlText w:val="o"/>
      <w:lvlJc w:val="left"/>
      <w:pPr>
        <w:tabs>
          <w:tab w:val="num" w:pos="1440"/>
        </w:tabs>
        <w:ind w:left="1080" w:hanging="360"/>
      </w:pPr>
      <w:rPr>
        <w:rFonts w:ascii="Courier New" w:hAnsi="Courier New" w:cs="Courier New"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8">
    <w:multiLevelType w:val="hybridMultilevel"/>
  </w:abstractNum>
  <w:abstractNum w:abstractNumId="9">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96becb298cc51c14f63d99e5d95fc5116862372.png" TargetMode="Internal"/><Relationship Id="rId6" Type="http://schemas.openxmlformats.org/officeDocument/2006/relationships/hyperlink" Target="https://association.centralesupelec-alumni.com/fr/event/frederic-lissalde-ceo-de-borg-warner-recoit-le-prix-nessim-habif-et-nous-parle-de-sa-carriere-de-dirigeant/2023/03/06/6837" TargetMode="External"/><Relationship Id="rId7" Type="http://schemas.openxmlformats.org/officeDocument/2006/relationships/hyperlink" Target="https://www.maghreb-rechange.com/frederic-lissalde-pdg-de-borgwarner-laureat-du-prestigieux-prix-nessim-habif/" TargetMode="External"/><Relationship Id="rId8" Type="http://schemas.openxmlformats.org/officeDocument/2006/relationships/hyperlink" Target="https://www.lemonde.fr/economie/article/2019/02/04/ces-francais-qui-comptent-dans-le-secteur-automobile-aux-etats-unis_5418917_3234.html" TargetMode="External"/><Relationship Id="rId9" Type="http://schemas.openxmlformats.org/officeDocument/2006/relationships/hyperlink" Target="https://www.linkedin.com/in/fr%C3%A9d%C3%A9ric-lissalde-11602214" TargetMode="External"/><Relationship Id="rId10" Type="http://schemas.openxmlformats.org/officeDocument/2006/relationships/hyperlink" Target="https://en.wikipedia.org/wiki/Fr%C3%A9d%C3%A9ric_Lissalde" TargetMode="External"/><Relationship Id="rId11" Type="http://schemas.openxmlformats.org/officeDocument/2006/relationships/hyperlink" Target="https://ch.zonebourse.com/insider/FREDERIC-LISSALDE-A02849/" TargetMode="External"/><Relationship Id="rId12" Type="http://schemas.openxmlformats.org/officeDocument/2006/relationships/hyperlink" Target="https://www.borgwarner.com/docs/default-source/press-release-downloads/frederic-lissalde-ceo-biography.pdf?sfvrsn=b867b53c_4"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2025-09-15T12:14:18.430Z</dcterms:created>
  <dcterms:modified xsi:type="dcterms:W3CDTF">2025-09-15T12:14:18.430Z</dcterms:modified>
</cp:coreProperties>
</file>